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Согласно штормовым предупреждениям №20 и №21 ФГБУ "Северо-Западное УГМС" от 19.06.2020: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19.06, начиная с 13-16 часов, местами ожидаются ливни, грозы, при грозах порывы ветра 15-20 м/с, в отдельных районах град.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Во второй половине дня местами в южных районах области ожидается повышение температуры воздуха до +30 гр.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ДТП, в том числе крупных и с участием детей, затруднений в движении по автодорогам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град, порывы ветра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до 20 м/с, высокая температура воздуха);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возникновения происшествий на акваториях Ленинградской области (Источник – нарушения мер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безопасности на воде, ливни, грозы, град, порывы ветра до 20 м/с);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авиапроисшествий, изменения в расписании воздушных судов на территории Ленинградской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град, порывы ветра до 20 м/с);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происшествий и аварий на железнодорожном транспорте на территории Ленинградской области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грозы, град, порывы ветра до 20 м/с, высокая температура воздуха);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повреждений (замыканий) на ЛЭП, ТП и линиях связи, объектов экономики, транспорта и жилого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сетей, ливни, грозы, град, порывы ветра до 20 м/с);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повышается вероятность возникновения аварий на объектах ЖКХ на всей территории Ленинградской области, нарушений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грозы, град, порывы ветра до 20 м/с);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существует вероятность незначительных подтоплений жилого сектора, придворовых территорий, дорог, пойменных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участков дождевыми паводками (Источник – ливни, град, порывы ветра до 20 м/с);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- 19 июня существует вероятность поражения объектов электроэнергетики, хранилищ ГСМ и других объектов, не оборудованных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молниезащитой (громоотводом), разрядами атмосферного электричества (молниями), а также случаев травматизма людей, вплоть до летального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исхода (Источник – грозы);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повышается вероятность увеличения количества пострадавших на реках и озёрах Ленинградской области при несоблюдении правил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повышается вероятность происшествий, связанных с угнетением и уничтожением с/х культур (Источник – град, высокая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температура воздуха);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повышается вероятность травматизма людей, а также повреждения личного имущества граждан (Источник – град);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lastRenderedPageBreak/>
        <w:t>- повышается вероятность возникновения происшествий на территории Ленинградской области, связанных с перевозкой опасных грузов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(нефтепродуктов, АХОВ, в т.ч. углеводорода), отключением электроэнергии в результате перегрева трансформаторных подстанций, конденсаторных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систем, систем высоковольтного снабжения, нарушениями в работе ж/д транспорта в результате деформации железнодорожного полотна, которая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может привести к авариям при прохождении пассажирских и грузовых составов (Источник – высокая температура воздуха)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- повышается вероятность происшествий, связанных с тепловым ударом у людей, а также обострением хронических заболеваний и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заболеваний сердечно-сосудистой системы (Источник – высокая температура воздуха);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036DD1" w:rsidRDefault="00036DD1" w:rsidP="00036DD1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112,</w:t>
      </w:r>
      <w:r>
        <w:rPr>
          <w:rFonts w:ascii="Calibri" w:eastAsia="Times New Roman" w:hAnsi="Calibri" w:cs="Calibri"/>
          <w:sz w:val="22"/>
          <w:szCs w:val="22"/>
        </w:rPr>
        <w:t xml:space="preserve">ЕДДС ГМР тел. </w:t>
      </w:r>
      <w:r>
        <w:rPr>
          <w:rStyle w:val="js-phone-number"/>
          <w:rFonts w:ascii="Calibri" w:eastAsia="Times New Roman" w:hAnsi="Calibri" w:cs="Calibri"/>
          <w:sz w:val="22"/>
          <w:szCs w:val="22"/>
        </w:rPr>
        <w:t>8-813-71-960-74</w:t>
      </w:r>
      <w:r>
        <w:rPr>
          <w:rFonts w:ascii="Calibri" w:eastAsia="Times New Roman" w:hAnsi="Calibri" w:cs="Calibri"/>
        </w:rPr>
        <w:t xml:space="preserve">, </w:t>
      </w:r>
      <w:r>
        <w:rPr>
          <w:rStyle w:val="js-phone-number"/>
          <w:rFonts w:ascii="Calibri" w:eastAsia="Times New Roman" w:hAnsi="Calibri" w:cs="Calibri"/>
        </w:rPr>
        <w:t>8-813-71-931-28</w:t>
      </w:r>
    </w:p>
    <w:p w:rsidR="004E5DE3" w:rsidRDefault="00036DD1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A3"/>
    <w:rsid w:val="00036DD1"/>
    <w:rsid w:val="001219A1"/>
    <w:rsid w:val="001B41E3"/>
    <w:rsid w:val="00E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89C7-F734-41AA-BC5A-0842D54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3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2020-06-26T08:32:00Z</dcterms:created>
  <dcterms:modified xsi:type="dcterms:W3CDTF">2020-06-26T08:32:00Z</dcterms:modified>
</cp:coreProperties>
</file>